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2"/>
              </w:rPr>
              <w:t xml:space="preserve">Приказ Казначейства России от 08.04.2015 N 10н</w:t>
              <w:br/>
              <w:t xml:space="preserve">(ред. от 06.08.2018)</w:t>
              <w:br/>
              <w:t xml:space="preserve">"Об утверждении Порядка уведомления федеральными государственными гражданскими служащими центрального аппарата Федерального казначейства, территориальных органов Федерального казначейства, работниками федерального казенного учреждения "Центр по обеспечению деятельности Казначейства России" представителя нанимателя (работодателя) о фактах обращения в целях склонения их к совершению коррупционных правонарушений, регистрации таких уведомлений и организации проверки содержащихся в них сведений"</w:t>
              <w:br/>
              <w:t xml:space="preserve">(Зарегистрировано в Минюсте России 13.05.2015 N 37272)</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18.02.2026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Минюсте России 13 мая 2015 г. N 37272</w:t>
      </w:r>
    </w:p>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МИНИСТЕРСТВО ФИНАНСОВ РОССИЙСКОЙ ФЕДЕРАЦИИ</w:t>
      </w:r>
    </w:p>
    <w:p>
      <w:pPr>
        <w:pStyle w:val="2"/>
        <w:jc w:val="center"/>
      </w:pPr>
      <w:r>
        <w:rPr>
          <w:sz w:val="20"/>
        </w:rPr>
      </w:r>
    </w:p>
    <w:p>
      <w:pPr>
        <w:pStyle w:val="2"/>
        <w:jc w:val="center"/>
      </w:pPr>
      <w:r>
        <w:rPr>
          <w:sz w:val="20"/>
        </w:rPr>
        <w:t xml:space="preserve">ФЕДЕРАЛЬНОЕ КАЗНАЧЕЙСТВО</w:t>
      </w:r>
    </w:p>
    <w:p>
      <w:pPr>
        <w:pStyle w:val="2"/>
        <w:jc w:val="center"/>
      </w:pPr>
      <w:r>
        <w:rPr>
          <w:sz w:val="20"/>
        </w:rPr>
      </w:r>
    </w:p>
    <w:p>
      <w:pPr>
        <w:pStyle w:val="2"/>
        <w:jc w:val="center"/>
      </w:pPr>
      <w:r>
        <w:rPr>
          <w:sz w:val="20"/>
        </w:rPr>
        <w:t xml:space="preserve">ПРИКАЗ</w:t>
      </w:r>
    </w:p>
    <w:p>
      <w:pPr>
        <w:pStyle w:val="2"/>
        <w:jc w:val="center"/>
      </w:pPr>
      <w:r>
        <w:rPr>
          <w:sz w:val="20"/>
        </w:rPr>
        <w:t xml:space="preserve">от 8 апреля 2015 г. N 10н</w:t>
      </w:r>
    </w:p>
    <w:p>
      <w:pPr>
        <w:pStyle w:val="2"/>
        <w:jc w:val="center"/>
      </w:pPr>
      <w:r>
        <w:rPr>
          <w:sz w:val="20"/>
        </w:rPr>
      </w:r>
    </w:p>
    <w:p>
      <w:pPr>
        <w:pStyle w:val="2"/>
        <w:jc w:val="center"/>
      </w:pPr>
      <w:r>
        <w:rPr>
          <w:sz w:val="20"/>
        </w:rPr>
        <w:t xml:space="preserve">ОБ УТВЕРЖДЕНИИ ПОРЯДКА</w:t>
      </w:r>
    </w:p>
    <w:p>
      <w:pPr>
        <w:pStyle w:val="2"/>
        <w:jc w:val="center"/>
      </w:pPr>
      <w:r>
        <w:rPr>
          <w:sz w:val="20"/>
        </w:rPr>
        <w:t xml:space="preserve">УВЕДОМЛЕНИЯ ФЕДЕРАЛЬНЫМИ ГОСУДАРСТВЕННЫМИ</w:t>
      </w:r>
    </w:p>
    <w:p>
      <w:pPr>
        <w:pStyle w:val="2"/>
        <w:jc w:val="center"/>
      </w:pPr>
      <w:r>
        <w:rPr>
          <w:sz w:val="20"/>
        </w:rPr>
        <w:t xml:space="preserve">ГРАЖДАНСКИМИ СЛУЖАЩИМИ ЦЕНТРАЛЬНОГО АППАРАТА ФЕДЕРАЛЬНОГО</w:t>
      </w:r>
    </w:p>
    <w:p>
      <w:pPr>
        <w:pStyle w:val="2"/>
        <w:jc w:val="center"/>
      </w:pPr>
      <w:r>
        <w:rPr>
          <w:sz w:val="20"/>
        </w:rPr>
        <w:t xml:space="preserve">КАЗНАЧЕЙСТВА, ТЕРРИТОРИАЛЬНЫХ ОРГАНОВ ФЕДЕРАЛЬНОГО</w:t>
      </w:r>
    </w:p>
    <w:p>
      <w:pPr>
        <w:pStyle w:val="2"/>
        <w:jc w:val="center"/>
      </w:pPr>
      <w:r>
        <w:rPr>
          <w:sz w:val="20"/>
        </w:rPr>
        <w:t xml:space="preserve">КАЗНАЧЕЙСТВА, РАБОТНИКАМИ ФЕДЕРАЛЬНОГО КАЗЕННОГО УЧРЕЖДЕНИЯ</w:t>
      </w:r>
    </w:p>
    <w:p>
      <w:pPr>
        <w:pStyle w:val="2"/>
        <w:jc w:val="center"/>
      </w:pPr>
      <w:r>
        <w:rPr>
          <w:sz w:val="20"/>
        </w:rPr>
        <w:t xml:space="preserve">"ЦЕНТР ПО ОБЕСПЕЧЕНИЮ ДЕЯТЕЛЬНОСТИ КАЗНАЧЕЙСТВА РОССИИ"</w:t>
      </w:r>
    </w:p>
    <w:p>
      <w:pPr>
        <w:pStyle w:val="2"/>
        <w:jc w:val="center"/>
      </w:pPr>
      <w:r>
        <w:rPr>
          <w:sz w:val="20"/>
        </w:rPr>
        <w:t xml:space="preserve">ПРЕДСТАВИТЕЛЯ НАНИМАТЕЛЯ (РАБОТОДАТЕЛЯ) О ФАКТАХ ОБРАЩЕНИЯ</w:t>
      </w:r>
    </w:p>
    <w:p>
      <w:pPr>
        <w:pStyle w:val="2"/>
        <w:jc w:val="center"/>
      </w:pPr>
      <w:r>
        <w:rPr>
          <w:sz w:val="20"/>
        </w:rPr>
        <w:t xml:space="preserve">В ЦЕЛЯХ СКЛОНЕНИЯ ИХ К СОВЕРШЕНИЮ КОРРУПЦИОННЫХ</w:t>
      </w:r>
    </w:p>
    <w:p>
      <w:pPr>
        <w:pStyle w:val="2"/>
        <w:jc w:val="center"/>
      </w:pPr>
      <w:r>
        <w:rPr>
          <w:sz w:val="20"/>
        </w:rPr>
        <w:t xml:space="preserve">ПРАВОНАРУШЕНИЙ, РЕГИСТРАЦИИ ТАКИХ УВЕДОМЛЕНИЙ</w:t>
      </w:r>
    </w:p>
    <w:p>
      <w:pPr>
        <w:pStyle w:val="2"/>
        <w:jc w:val="center"/>
      </w:pPr>
      <w:r>
        <w:rPr>
          <w:sz w:val="20"/>
        </w:rPr>
        <w:t xml:space="preserve">И ОРГАНИЗАЦИИ ПРОВЕРКИ СОДЕРЖАЩИХСЯ В НИХ СВЕДЕНИЙ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(в ред. </w:t>
            </w:r>
            <w:hyperlink w:history="0" r:id="rId8" w:tooltip="Приказ Казначейства России от 06.08.2018 N 24н (ред. от 10.01.2024) &quot;О внесении изменений в некоторые нормативные правовые акты Федерального казначейства по вопросам противодействия коррупции&quot; (Зарегистрировано в Минюсте России 18.10.2018 N 52473) {КонсультантПлюс}">
              <w:r>
                <w:rPr>
                  <w:sz w:val="20"/>
                  <w:color w:val="0000ff"/>
                </w:rPr>
                <w:t xml:space="preserve">Приказа</w:t>
              </w:r>
            </w:hyperlink>
            <w:r>
              <w:rPr>
                <w:sz w:val="20"/>
                <w:color w:val="392c69"/>
              </w:rPr>
              <w:t xml:space="preserve"> Казначейства России от 06.08.2018 N 24н)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соответствии со </w:t>
      </w:r>
      <w:hyperlink w:history="0" r:id="rId9" w:tooltip="Ссылка на КонсультантПлюс">
        <w:r>
          <w:rPr>
            <w:sz w:val="20"/>
            <w:color w:val="0000ff"/>
          </w:rPr>
          <w:t xml:space="preserve">статьями 9</w:t>
        </w:r>
      </w:hyperlink>
      <w:r>
        <w:rPr>
          <w:sz w:val="20"/>
        </w:rPr>
        <w:t xml:space="preserve"> и </w:t>
      </w:r>
      <w:hyperlink w:history="0" r:id="rId10" w:tooltip="Ссылка на КонсультантПлюс">
        <w:r>
          <w:rPr>
            <w:sz w:val="20"/>
            <w:color w:val="0000ff"/>
          </w:rPr>
          <w:t xml:space="preserve">11.1</w:t>
        </w:r>
      </w:hyperlink>
      <w:r>
        <w:rPr>
          <w:sz w:val="20"/>
        </w:rPr>
        <w:t xml:space="preserve"> Федерального закона от 25 декабря 2008 г. N 273-ФЗ "О противодействии коррупции" (Собрание законодательства Российской Федерации, 2008, N 52, ст. 6228; 2011, N 29, ст. 4291; N 48, ст. 6730; 2012, N 50, ст. 6954; N 53, ст. 7605; 2013, N 19, ст. 2329; N 40, ст. 5031; N 52, ст. 6961; 2014, N 52, ст. 7542) приказываю:</w:t>
      </w:r>
    </w:p>
    <w:p>
      <w:pPr>
        <w:pStyle w:val="0"/>
        <w:spacing w:before="200" w:lineRule="auto"/>
        <w:ind w:firstLine="540"/>
        <w:jc w:val="both"/>
      </w:pPr>
      <w:r>
        <w:rPr>
          <w:sz w:val="20"/>
        </w:rPr>
        <w:t xml:space="preserve">1. Утвердить прилагаемый </w:t>
      </w:r>
      <w:hyperlink w:history="0" w:anchor="P38" w:tooltip="ПОРЯДОК">
        <w:r>
          <w:rPr>
            <w:sz w:val="20"/>
            <w:color w:val="0000ff"/>
          </w:rPr>
          <w:t xml:space="preserve">Порядок</w:t>
        </w:r>
      </w:hyperlink>
      <w:r>
        <w:rPr>
          <w:sz w:val="20"/>
        </w:rPr>
        <w:t xml:space="preserve"> уведомления федеральными государственными гражданскими служащими центрального аппарата Федерального казначейства, территориальных органов Федерального казначейства, работниками федерального казенного учреждения "Центр по обеспечению деятельности Казначейства России" представителя нанимателя (работодателя) о фактах обращения в целях склонения их к совершению коррупционных правонарушений, регистрации таких уведомлений и организации проверки содержащихся в них сведений.</w:t>
      </w:r>
    </w:p>
    <w:p>
      <w:pPr>
        <w:pStyle w:val="0"/>
        <w:spacing w:before="200" w:lineRule="auto"/>
        <w:ind w:firstLine="540"/>
        <w:jc w:val="both"/>
      </w:pPr>
      <w:r>
        <w:rPr>
          <w:sz w:val="20"/>
        </w:rPr>
        <w:t xml:space="preserve">2. Признать утратившими силу приказы Федерального казначейства от 17 ноября 2010 г. </w:t>
      </w:r>
      <w:hyperlink w:history="0" r:id="rId11" w:tooltip="Приказ Казначейства России от 17.11.2010 N 18н (ред. от 02.11.2011) &quot;Об утверждении Порядка 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 регистрации таких уведомлений и организации проверки содержащихся в них сведений&quot; (Зарегистрировано в Минюсте РФ 29.12.2010 N 19427) ------------ Утратил силу или отменен {КонсультантПлюс}">
        <w:r>
          <w:rPr>
            <w:sz w:val="20"/>
            <w:color w:val="0000ff"/>
          </w:rPr>
          <w:t xml:space="preserve">N 18н</w:t>
        </w:r>
      </w:hyperlink>
      <w:r>
        <w:rPr>
          <w:sz w:val="20"/>
        </w:rPr>
        <w:t xml:space="preserve"> "Об утверждении Порядка 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 регистрации таких уведомлений и организации проверки содержащихся в них сведений" (зарегистрирован в Министерстве юстиции Российской Федерации 29 декабря 2010 г., регистрационный номер 19427; Бюллетень нормативных актов федеральных органов исполнительной власти, 2011, N 8), от 2 ноября 2011 г. </w:t>
      </w:r>
      <w:hyperlink w:history="0" r:id="rId12" w:tooltip="Приказ Казначейства России от 02.11.2011 N 12н &quot;О внесении изменения в пункт 2 Приказа Федерального казначейства от 17 ноября 2010 г. N 18н &quot;Об утверждении Порядка 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 регистрации таких уведомлений и организации проверки содержащихся в них сведений&quot; (Зарегистрировано в Минюсте РФ 25.11.2011 N 22402) ------------ Утратил силу или отменен {КонсультантПлюс}">
        <w:r>
          <w:rPr>
            <w:sz w:val="20"/>
            <w:color w:val="0000ff"/>
          </w:rPr>
          <w:t xml:space="preserve">N 12н</w:t>
        </w:r>
      </w:hyperlink>
      <w:r>
        <w:rPr>
          <w:sz w:val="20"/>
        </w:rPr>
        <w:t xml:space="preserve"> "О внесении изменения в пункт 2 приказа Федерального казначейства от 17 ноября 2010 г. N 18н "Об утверждении Порядка 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 регистрации таких уведомлений и организации проверки содержащихся в них сведений" (зарегистрирован в Министерстве юстиции Российской Федерации 25 ноября 2011 г., регистрационный номер 22402; Российская газета, 2011, 7 декабря).</w:t>
      </w:r>
    </w:p>
    <w:p>
      <w:pPr>
        <w:pStyle w:val="0"/>
        <w:jc w:val="both"/>
      </w:pPr>
      <w:r>
        <w:rPr>
          <w:sz w:val="20"/>
        </w:rPr>
      </w:r>
    </w:p>
    <w:p>
      <w:pPr>
        <w:pStyle w:val="0"/>
        <w:jc w:val="right"/>
      </w:pPr>
      <w:r>
        <w:rPr>
          <w:sz w:val="20"/>
        </w:rPr>
        <w:t xml:space="preserve">Руководитель</w:t>
      </w:r>
    </w:p>
    <w:p>
      <w:pPr>
        <w:pStyle w:val="0"/>
        <w:jc w:val="right"/>
      </w:pPr>
      <w:r>
        <w:rPr>
          <w:sz w:val="20"/>
        </w:rPr>
        <w:t xml:space="preserve">Р.Е.АРТЮХИН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right"/>
      </w:pPr>
      <w:r>
        <w:rPr>
          <w:sz w:val="20"/>
        </w:rPr>
        <w:t xml:space="preserve">приказом Федерального казначейства</w:t>
      </w:r>
    </w:p>
    <w:p>
      <w:pPr>
        <w:pStyle w:val="0"/>
        <w:jc w:val="right"/>
      </w:pPr>
      <w:r>
        <w:rPr>
          <w:sz w:val="20"/>
        </w:rPr>
        <w:t xml:space="preserve">от 8 апреля 2015 г. N 10н</w:t>
      </w:r>
    </w:p>
    <w:p>
      <w:pPr>
        <w:pStyle w:val="0"/>
        <w:jc w:val="both"/>
      </w:pPr>
      <w:r>
        <w:rPr>
          <w:sz w:val="20"/>
        </w:rPr>
      </w:r>
    </w:p>
    <w:bookmarkStart w:id="38" w:name="P38"/>
    <w:bookmarkEnd w:id="38"/>
    <w:p>
      <w:pPr>
        <w:pStyle w:val="2"/>
        <w:jc w:val="center"/>
      </w:pPr>
      <w:r>
        <w:rPr>
          <w:sz w:val="20"/>
        </w:rPr>
        <w:t xml:space="preserve">ПОРЯДОК</w:t>
      </w:r>
    </w:p>
    <w:p>
      <w:pPr>
        <w:pStyle w:val="2"/>
        <w:jc w:val="center"/>
      </w:pPr>
      <w:r>
        <w:rPr>
          <w:sz w:val="20"/>
        </w:rPr>
        <w:t xml:space="preserve">УВЕДОМЛЕНИЯ ФЕДЕРАЛЬНЫМИ ГОСУДАРСТВЕННЫМИ</w:t>
      </w:r>
    </w:p>
    <w:p>
      <w:pPr>
        <w:pStyle w:val="2"/>
        <w:jc w:val="center"/>
      </w:pPr>
      <w:r>
        <w:rPr>
          <w:sz w:val="20"/>
        </w:rPr>
        <w:t xml:space="preserve">ГРАЖДАНСКИМИ СЛУЖАЩИМИ ЦЕНТРАЛЬНОГО АППАРАТА ФЕДЕРАЛЬНОГО</w:t>
      </w:r>
    </w:p>
    <w:p>
      <w:pPr>
        <w:pStyle w:val="2"/>
        <w:jc w:val="center"/>
      </w:pPr>
      <w:r>
        <w:rPr>
          <w:sz w:val="20"/>
        </w:rPr>
        <w:t xml:space="preserve">КАЗНАЧЕЙСТВА, ТЕРРИТОРИАЛЬНЫХ ОРГАНОВ ФЕДЕРАЛЬНОГО</w:t>
      </w:r>
    </w:p>
    <w:p>
      <w:pPr>
        <w:pStyle w:val="2"/>
        <w:jc w:val="center"/>
      </w:pPr>
      <w:r>
        <w:rPr>
          <w:sz w:val="20"/>
        </w:rPr>
        <w:t xml:space="preserve">КАЗНАЧЕЙСТВА, РАБОТНИКАМИ ФЕДЕРАЛЬНОГО КАЗЕННОГО УЧРЕЖДЕНИЯ</w:t>
      </w:r>
    </w:p>
    <w:p>
      <w:pPr>
        <w:pStyle w:val="2"/>
        <w:jc w:val="center"/>
      </w:pPr>
      <w:r>
        <w:rPr>
          <w:sz w:val="20"/>
        </w:rPr>
        <w:t xml:space="preserve">"ЦЕНТР ПО ОБЕСПЕЧЕНИЮ ДЕЯТЕЛЬНОСТИ КАЗНАЧЕЙСТВА РОССИИ"</w:t>
      </w:r>
    </w:p>
    <w:p>
      <w:pPr>
        <w:pStyle w:val="2"/>
        <w:jc w:val="center"/>
      </w:pPr>
      <w:r>
        <w:rPr>
          <w:sz w:val="20"/>
        </w:rPr>
        <w:t xml:space="preserve">ПРЕДСТАВИТЕЛЯ НАНИМАТЕЛЯ (РАБОТОДАТЕЛЯ) О ФАКТАХ ОБРАЩЕНИЯ</w:t>
      </w:r>
    </w:p>
    <w:p>
      <w:pPr>
        <w:pStyle w:val="2"/>
        <w:jc w:val="center"/>
      </w:pPr>
      <w:r>
        <w:rPr>
          <w:sz w:val="20"/>
        </w:rPr>
        <w:t xml:space="preserve">В ЦЕЛЯХ СКЛОНЕНИЯ ИХ К СОВЕРШЕНИЮ КОРРУПЦИОННЫХ</w:t>
      </w:r>
    </w:p>
    <w:p>
      <w:pPr>
        <w:pStyle w:val="2"/>
        <w:jc w:val="center"/>
      </w:pPr>
      <w:r>
        <w:rPr>
          <w:sz w:val="20"/>
        </w:rPr>
        <w:t xml:space="preserve">ПРАВОНАРУШЕНИЙ, РЕГИСТРАЦИИ ТАКИХ УВЕДОМЛЕНИЙ</w:t>
      </w:r>
    </w:p>
    <w:p>
      <w:pPr>
        <w:pStyle w:val="2"/>
        <w:jc w:val="center"/>
      </w:pPr>
      <w:r>
        <w:rPr>
          <w:sz w:val="20"/>
        </w:rPr>
        <w:t xml:space="preserve">И ОРГАНИЗАЦИИ ПРОВЕРКИ СОДЕРЖАЩИХСЯ В НИХ СВЕДЕНИЙ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(в ред. </w:t>
            </w:r>
            <w:hyperlink w:history="0" r:id="rId13" w:tooltip="Приказ Казначейства России от 06.08.2018 N 24н (ред. от 10.01.2024) &quot;О внесении изменений в некоторые нормативные правовые акты Федерального казначейства по вопросам противодействия коррупции&quot; (Зарегистрировано в Минюсте России 18.10.2018 N 52473) {КонсультантПлюс}">
              <w:r>
                <w:rPr>
                  <w:sz w:val="20"/>
                  <w:color w:val="0000ff"/>
                </w:rPr>
                <w:t xml:space="preserve">Приказа</w:t>
              </w:r>
            </w:hyperlink>
            <w:r>
              <w:rPr>
                <w:sz w:val="20"/>
                <w:color w:val="392c69"/>
              </w:rPr>
              <w:t xml:space="preserve"> Казначейства России от 06.08.2018 N 24н)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Настоящий Порядок разработан в целях реализации положений </w:t>
      </w:r>
      <w:hyperlink w:history="0" r:id="rId14" w:tooltip="Ссылка на КонсультантПлюс">
        <w:r>
          <w:rPr>
            <w:sz w:val="20"/>
            <w:color w:val="0000ff"/>
          </w:rPr>
          <w:t xml:space="preserve">статей 9</w:t>
        </w:r>
      </w:hyperlink>
      <w:r>
        <w:rPr>
          <w:sz w:val="20"/>
        </w:rPr>
        <w:t xml:space="preserve"> и </w:t>
      </w:r>
      <w:hyperlink w:history="0" r:id="rId15" w:tooltip="Ссылка на КонсультантПлюс">
        <w:r>
          <w:rPr>
            <w:sz w:val="20"/>
            <w:color w:val="0000ff"/>
          </w:rPr>
          <w:t xml:space="preserve">11.1</w:t>
        </w:r>
      </w:hyperlink>
      <w:r>
        <w:rPr>
          <w:sz w:val="20"/>
        </w:rPr>
        <w:t xml:space="preserve"> Федерального закона от 25 декабря 2008 г. N 273-ФЗ "О противодействии коррупции" (Собрание законодательства Российской Федерации, 2008, N 52, ст. 6228; 2011, N 29, ст. 4291; N 48, ст. 6730; 2012, N 50, ст. 6954; N 53, ст. 7605; 2013, N 19, ст. 2329; N 40, ст. 5031; N 52, ст. 6961; 2014, N 52, ст. 7542).</w:t>
      </w:r>
    </w:p>
    <w:p>
      <w:pPr>
        <w:pStyle w:val="0"/>
        <w:spacing w:before="200" w:lineRule="auto"/>
        <w:ind w:firstLine="540"/>
        <w:jc w:val="both"/>
      </w:pPr>
      <w:r>
        <w:rPr>
          <w:sz w:val="20"/>
        </w:rPr>
        <w:t xml:space="preserve">2. Настоящий Порядок устанавливает процедуру уведомления федеральными государственными гражданскими служащими центрального аппарата Федерального казначейства и территориальных органов Федерального казначейства (далее - гражданские служащие), работниками федерального казенного учреждения "Центр по обеспечению деятельности Казначейства России" (далее - работники) представителя нанимателя (работодателя) о фактах обращения в целях склонения их к совершению коррупционных правонарушений, регистрации таких уведомлений и организации проверки содержащихся в них сведений.</w:t>
      </w:r>
    </w:p>
    <w:p>
      <w:pPr>
        <w:pStyle w:val="0"/>
        <w:spacing w:before="200" w:lineRule="auto"/>
        <w:ind w:firstLine="540"/>
        <w:jc w:val="both"/>
      </w:pPr>
      <w:r>
        <w:rPr>
          <w:sz w:val="20"/>
        </w:rPr>
        <w:t xml:space="preserve">3. Гражданские служащие (работники) уведомляют представителя нанимателя (работодателя) обо всех случаях обращения к ним каких-либо лиц в целях склонения их к совершению коррупционных правонарушений в трехдневный срок с момента, когда им стало известно о фактах такого обращения.</w:t>
      </w:r>
    </w:p>
    <w:p>
      <w:pPr>
        <w:pStyle w:val="0"/>
        <w:spacing w:before="200" w:lineRule="auto"/>
        <w:ind w:firstLine="540"/>
        <w:jc w:val="both"/>
      </w:pPr>
      <w:r>
        <w:rPr>
          <w:sz w:val="20"/>
        </w:rPr>
        <w:t xml:space="preserve">При нахождении гражданского служащего (работника) в командировке, в отпуске, вне места прохождения федеральной государственной гражданской службы (работы) по иным основаниям, установленным законодательством Российской Федерации, гражданский служащий (работник) обязан уведомить представителя нанимателя (работодателя) обо всех случаях обращения к нему каких-либо лиц в целях склонения его к совершению коррупционных правонарушений незамедлительно с момента прибытия к месту прохождения службы (работы).</w:t>
      </w:r>
    </w:p>
    <w:p>
      <w:pPr>
        <w:pStyle w:val="0"/>
        <w:spacing w:before="200" w:lineRule="auto"/>
        <w:ind w:firstLine="540"/>
        <w:jc w:val="both"/>
      </w:pPr>
      <w:r>
        <w:rPr>
          <w:sz w:val="20"/>
        </w:rPr>
        <w:t xml:space="preserve">4. Уведомление гражданским служащим (работником) представителя нанимателя (работодателя) обо всех случаях обращения каких-либо лиц в целях склонения к совершению коррупционных правонарушений (далее - уведомление) составляется на имя представителя нанимателя (работодателя) и передается:</w:t>
      </w:r>
    </w:p>
    <w:bookmarkStart w:id="55" w:name="P55"/>
    <w:bookmarkEnd w:id="55"/>
    <w:p>
      <w:pPr>
        <w:pStyle w:val="0"/>
        <w:spacing w:before="200" w:lineRule="auto"/>
        <w:ind w:firstLine="540"/>
        <w:jc w:val="both"/>
      </w:pPr>
      <w:r>
        <w:rPr>
          <w:sz w:val="20"/>
        </w:rPr>
        <w:t xml:space="preserve">а) гражданскими служащими центрального аппарата Федерального казначейства (за исключением заместителей руководителя Федерального казначейства), а также гражданскими служащими, замещающими должность заместителя руководителя территориального органа Федерального казначейства, директором и заместителями директора федерального казенного учреждения "Центр по обеспечению деятельности Казначейства России" (далее - ФКУ "ЦОКР") - в Отдел по профилактике коррупционных и иных правонарушений Управления внутреннего контроля и аудита Федерального казначейства (далее - Отдел по профилактике коррупционных и иных правонарушений);</w:t>
      </w:r>
    </w:p>
    <w:p>
      <w:pPr>
        <w:pStyle w:val="0"/>
        <w:jc w:val="both"/>
      </w:pPr>
      <w:r>
        <w:rPr>
          <w:sz w:val="20"/>
        </w:rPr>
        <w:t xml:space="preserve">(в ред. </w:t>
      </w:r>
      <w:hyperlink w:history="0" r:id="rId16" w:tooltip="Приказ Казначейства России от 06.08.2018 N 24н (ред. от 10.01.2024) &quot;О внесении изменений в некоторые нормативные правовые акты Федерального казначейства по вопросам противодействия коррупции&quot; (Зарегистрировано в Минюсте России 18.10.2018 N 52473) {КонсультантПлюс}">
        <w:r>
          <w:rPr>
            <w:sz w:val="20"/>
            <w:color w:val="0000ff"/>
          </w:rPr>
          <w:t xml:space="preserve">Приказа</w:t>
        </w:r>
      </w:hyperlink>
      <w:r>
        <w:rPr>
          <w:sz w:val="20"/>
        </w:rPr>
        <w:t xml:space="preserve"> Казначейства России от 06.08.2018 N 24н)</w:t>
      </w:r>
    </w:p>
    <w:bookmarkStart w:id="57" w:name="P57"/>
    <w:bookmarkEnd w:id="57"/>
    <w:p>
      <w:pPr>
        <w:pStyle w:val="0"/>
        <w:spacing w:before="200" w:lineRule="auto"/>
        <w:ind w:firstLine="540"/>
        <w:jc w:val="both"/>
      </w:pPr>
      <w:r>
        <w:rPr>
          <w:sz w:val="20"/>
        </w:rPr>
        <w:t xml:space="preserve">б) гражданскими служащими, замещающими иную должность федеральной государственной гражданской службы (далее - должность гражданской службы) в территориальном органе Федерального казначейства (за исключением руководителя территориального органа Федерального казначейства), - в подразделение территориального органа Федерального казначейства по вопросам государственной службы и кадров (далее - кадровая служба);</w:t>
      </w:r>
    </w:p>
    <w:bookmarkStart w:id="58" w:name="P58"/>
    <w:bookmarkEnd w:id="58"/>
    <w:p>
      <w:pPr>
        <w:pStyle w:val="0"/>
        <w:spacing w:before="200" w:lineRule="auto"/>
        <w:ind w:firstLine="540"/>
        <w:jc w:val="both"/>
      </w:pPr>
      <w:r>
        <w:rPr>
          <w:sz w:val="20"/>
        </w:rPr>
        <w:t xml:space="preserve">в) работниками, занимающими иные должности в ФКУ "ЦОКР" - в отдел кадров ФКУ "ЦОКР" (далее - отдел кадров).</w:t>
      </w:r>
    </w:p>
    <w:p>
      <w:pPr>
        <w:pStyle w:val="0"/>
        <w:spacing w:before="200" w:lineRule="auto"/>
        <w:ind w:firstLine="540"/>
        <w:jc w:val="both"/>
      </w:pPr>
      <w:r>
        <w:rPr>
          <w:sz w:val="20"/>
        </w:rPr>
        <w:t xml:space="preserve">5. В уведомлении указываются сведения в соответствии с </w:t>
      </w:r>
      <w:hyperlink w:history="0" w:anchor="P99" w:tooltip="ПЕРЕЧЕНЬ">
        <w:r>
          <w:rPr>
            <w:sz w:val="20"/>
            <w:color w:val="0000ff"/>
          </w:rPr>
          <w:t xml:space="preserve">приложением N 1</w:t>
        </w:r>
      </w:hyperlink>
      <w:r>
        <w:rPr>
          <w:sz w:val="20"/>
        </w:rPr>
        <w:t xml:space="preserve"> к настоящему Порядку.</w:t>
      </w:r>
    </w:p>
    <w:p>
      <w:pPr>
        <w:pStyle w:val="0"/>
        <w:spacing w:before="200" w:lineRule="auto"/>
        <w:ind w:firstLine="540"/>
        <w:jc w:val="both"/>
      </w:pPr>
      <w:r>
        <w:rPr>
          <w:sz w:val="20"/>
        </w:rPr>
        <w:t xml:space="preserve">К уведомлению прилагаются все имеющиеся материалы, подтверждающие обстоятельства обращения каких-либо лиц в целях склонения гражданского служащего (работника) к совершению коррупционных правонарушений.</w:t>
      </w:r>
    </w:p>
    <w:p>
      <w:pPr>
        <w:pStyle w:val="0"/>
        <w:spacing w:before="200" w:lineRule="auto"/>
        <w:ind w:firstLine="540"/>
        <w:jc w:val="both"/>
      </w:pPr>
      <w:r>
        <w:rPr>
          <w:sz w:val="20"/>
        </w:rPr>
        <w:t xml:space="preserve">6. При уведомлении органов прокуратуры или других государственных органов о фактах обращения каких-либо лиц в целях склонения к совершению коррупционного правонарушения гражданский служащий (работник) одновременно сообщает об этом в письменной форме, в том числе с указанием содержания уведомления, представителю нанимателя (работодателю).</w:t>
      </w:r>
    </w:p>
    <w:p>
      <w:pPr>
        <w:pStyle w:val="0"/>
        <w:spacing w:before="200" w:lineRule="auto"/>
        <w:ind w:firstLine="540"/>
        <w:jc w:val="both"/>
      </w:pPr>
      <w:r>
        <w:rPr>
          <w:sz w:val="20"/>
        </w:rPr>
        <w:t xml:space="preserve">7. Регистрация уведомления осуществляется в </w:t>
      </w:r>
      <w:hyperlink w:history="0" w:anchor="P142" w:tooltip="                                  Журнал">
        <w:r>
          <w:rPr>
            <w:sz w:val="20"/>
            <w:color w:val="0000ff"/>
          </w:rPr>
          <w:t xml:space="preserve">Журнале</w:t>
        </w:r>
      </w:hyperlink>
      <w:r>
        <w:rPr>
          <w:sz w:val="20"/>
        </w:rPr>
        <w:t xml:space="preserve"> регистрации уведомлений федеральными государственными гражданскими служащими центрального аппарата Федерального казначейства, территориальных органов Федерального казначейства, работниками ФКУ "ЦОКР" представителя нанимателя (работодателя) о фактах обращения в целях склонения их к совершению коррупционных правонарушений (далее - Журнал), оформленному по рекомендуемому образцу согласно приложению N 2 к настоящему Порядку, в день его поступления:</w:t>
      </w:r>
    </w:p>
    <w:p>
      <w:pPr>
        <w:pStyle w:val="0"/>
        <w:spacing w:before="200" w:lineRule="auto"/>
        <w:ind w:firstLine="540"/>
        <w:jc w:val="both"/>
      </w:pPr>
      <w:r>
        <w:rPr>
          <w:sz w:val="20"/>
        </w:rPr>
        <w:t xml:space="preserve">а) Отделом по профилактике коррупционных и иных правонарушений - в отношении уведомлений, представляемых гражданскими служащими (работниками), указанными в </w:t>
      </w:r>
      <w:hyperlink w:history="0" w:anchor="P55" w:tooltip="а) гражданскими служащими центрального аппарата Федерального казначейства (за исключением заместителей руководителя Федерального казначейства), а также гражданскими служащими, замещающими должность заместителя руководителя территориального органа Федерального казначейства, директором и заместителями директора федерального казенного учреждения &quot;Центр по обеспечению деятельности Казначейства России&quot; (далее - ФКУ &quot;ЦОКР&quot;) - в Отдел по профилактике коррупционных и иных правонарушений Управления внутреннего ко...">
        <w:r>
          <w:rPr>
            <w:sz w:val="20"/>
            <w:color w:val="0000ff"/>
          </w:rPr>
          <w:t xml:space="preserve">подпункте "а" пункта 4</w:t>
        </w:r>
      </w:hyperlink>
      <w:r>
        <w:rPr>
          <w:sz w:val="20"/>
        </w:rPr>
        <w:t xml:space="preserve"> настоящего Порядка;</w:t>
      </w:r>
    </w:p>
    <w:p>
      <w:pPr>
        <w:pStyle w:val="0"/>
        <w:spacing w:before="200" w:lineRule="auto"/>
        <w:ind w:firstLine="540"/>
        <w:jc w:val="both"/>
      </w:pPr>
      <w:r>
        <w:rPr>
          <w:sz w:val="20"/>
        </w:rPr>
        <w:t xml:space="preserve">б) кадровыми службами - в отношении уведомлений, представляемых гражданскими служащими, указанными в </w:t>
      </w:r>
      <w:hyperlink w:history="0" w:anchor="P57" w:tooltip="б) гражданскими служащими, замещающими иную должность федеральной государственной гражданской службы (далее - должность гражданской службы) в территориальном органе Федерального казначейства (за исключением руководителя территориального органа Федерального казначейства), - в подразделение территориального органа Федерального казначейства по вопросам государственной службы и кадров (далее - кадровая служба);">
        <w:r>
          <w:rPr>
            <w:sz w:val="20"/>
            <w:color w:val="0000ff"/>
          </w:rPr>
          <w:t xml:space="preserve">подпункте "б" пункта 4</w:t>
        </w:r>
      </w:hyperlink>
      <w:r>
        <w:rPr>
          <w:sz w:val="20"/>
        </w:rPr>
        <w:t xml:space="preserve"> настоящего Порядка;</w:t>
      </w:r>
    </w:p>
    <w:p>
      <w:pPr>
        <w:pStyle w:val="0"/>
        <w:spacing w:before="200" w:lineRule="auto"/>
        <w:ind w:firstLine="540"/>
        <w:jc w:val="both"/>
      </w:pPr>
      <w:r>
        <w:rPr>
          <w:sz w:val="20"/>
        </w:rPr>
        <w:t xml:space="preserve">в) отделом кадров - в отношении уведомлений, представляемых работниками, указанными в </w:t>
      </w:r>
      <w:hyperlink w:history="0" w:anchor="P58" w:tooltip="в) работниками, занимающими иные должности в ФКУ &quot;ЦОКР&quot; - в отдел кадров ФКУ &quot;ЦОКР&quot; (далее - отдел кадров).">
        <w:r>
          <w:rPr>
            <w:sz w:val="20"/>
            <w:color w:val="0000ff"/>
          </w:rPr>
          <w:t xml:space="preserve">подпункте "в" пункта 4</w:t>
        </w:r>
      </w:hyperlink>
      <w:r>
        <w:rPr>
          <w:sz w:val="20"/>
        </w:rPr>
        <w:t xml:space="preserve"> настоящего Порядка.</w:t>
      </w:r>
    </w:p>
    <w:p>
      <w:pPr>
        <w:pStyle w:val="0"/>
        <w:spacing w:before="200" w:lineRule="auto"/>
        <w:ind w:firstLine="540"/>
        <w:jc w:val="both"/>
      </w:pPr>
      <w:r>
        <w:rPr>
          <w:sz w:val="20"/>
        </w:rPr>
        <w:t xml:space="preserve">8. Копия зарегистрированного в установленном порядке уведомления выдается гражданскому служащему (работнику) на руки под роспись в </w:t>
      </w:r>
      <w:hyperlink w:history="0" w:anchor="P178" w:tooltip="10">
        <w:r>
          <w:rPr>
            <w:sz w:val="20"/>
            <w:color w:val="0000ff"/>
          </w:rPr>
          <w:t xml:space="preserve">графе 10</w:t>
        </w:r>
      </w:hyperlink>
      <w:r>
        <w:rPr>
          <w:sz w:val="20"/>
        </w:rPr>
        <w:t xml:space="preserve"> (Подпись гражданского служащего (работника), подавшего уведомление) Журнала либо направляется по почте с уведомлением о вручении.</w:t>
      </w:r>
    </w:p>
    <w:p>
      <w:pPr>
        <w:pStyle w:val="0"/>
        <w:spacing w:before="200" w:lineRule="auto"/>
        <w:ind w:firstLine="540"/>
        <w:jc w:val="both"/>
      </w:pPr>
      <w:r>
        <w:rPr>
          <w:sz w:val="20"/>
        </w:rPr>
        <w:t xml:space="preserve">На копии уведомления, подлежащей передаче гражданскому служащему (работнику), ставится штамп "Уведомление зарегистрировано" с указанием даты регистрации уведомления, фамилии, имени, отчества и должности лица, зарегистрировавшего данное уведомление.</w:t>
      </w:r>
    </w:p>
    <w:p>
      <w:pPr>
        <w:pStyle w:val="0"/>
        <w:spacing w:before="200" w:lineRule="auto"/>
        <w:ind w:firstLine="540"/>
        <w:jc w:val="both"/>
      </w:pPr>
      <w:r>
        <w:rPr>
          <w:sz w:val="20"/>
        </w:rPr>
        <w:t xml:space="preserve">9. Листы Журнала должны быть пронумерованы, прошнурованы и скреплены гербовой печатью Федерального казначейства (территориального органа Федерального казначейства, ФКУ "ЦОКР").</w:t>
      </w:r>
    </w:p>
    <w:p>
      <w:pPr>
        <w:pStyle w:val="0"/>
        <w:spacing w:before="200" w:lineRule="auto"/>
        <w:ind w:firstLine="540"/>
        <w:jc w:val="both"/>
      </w:pPr>
      <w:r>
        <w:rPr>
          <w:sz w:val="20"/>
        </w:rPr>
        <w:t xml:space="preserve">Журнал хранится в течение 3 лет с момента регистрации в нем последнего уведомления, после чего передается в архив.</w:t>
      </w:r>
    </w:p>
    <w:p>
      <w:pPr>
        <w:pStyle w:val="0"/>
        <w:spacing w:before="200" w:lineRule="auto"/>
        <w:ind w:firstLine="540"/>
        <w:jc w:val="both"/>
      </w:pPr>
      <w:r>
        <w:rPr>
          <w:sz w:val="20"/>
        </w:rPr>
        <w:t xml:space="preserve">10. Отдел по профилактике коррупционных и иных правонарушений, кадровые службы, а также отдел кадров обеспечивают доведение до представителя нанимателя (работодателя) информации о регистрации уведомления в установленном порядке в день его поступления соответственно в Отдел по профилактике коррупционных и иных правонарушений, кадровую службу, отдел кадров.</w:t>
      </w:r>
    </w:p>
    <w:p>
      <w:pPr>
        <w:pStyle w:val="0"/>
        <w:spacing w:before="200" w:lineRule="auto"/>
        <w:ind w:firstLine="540"/>
        <w:jc w:val="both"/>
      </w:pPr>
      <w:r>
        <w:rPr>
          <w:sz w:val="20"/>
        </w:rPr>
        <w:t xml:space="preserve">11. Организация проверки сведений, содержащихся в уведомлении, обеспечивается по решению представителя нанимателя (работодателя) соответственно Отделом по профилактике коррупционных и иных правонарушений, кадровыми службами, отделом кадров.</w:t>
      </w:r>
    </w:p>
    <w:p>
      <w:pPr>
        <w:pStyle w:val="0"/>
        <w:spacing w:before="200" w:lineRule="auto"/>
        <w:ind w:firstLine="540"/>
        <w:jc w:val="both"/>
      </w:pPr>
      <w:r>
        <w:rPr>
          <w:sz w:val="20"/>
        </w:rPr>
        <w:t xml:space="preserve">12. Проверка сведений, содержащихся в уведомлении, проводится в течение пяти рабочих дней с момента регистрации уведомления.</w:t>
      </w:r>
    </w:p>
    <w:p>
      <w:pPr>
        <w:pStyle w:val="0"/>
        <w:spacing w:before="200" w:lineRule="auto"/>
        <w:ind w:firstLine="540"/>
        <w:jc w:val="both"/>
      </w:pPr>
      <w:r>
        <w:rPr>
          <w:sz w:val="20"/>
        </w:rPr>
        <w:t xml:space="preserve">13. По окончании проверки уведомление с приложением материалов проверки представляются соответственно Отделом по профилактике коррупционных и иных правонарушений, кадровой службой, отделом кадров представителю нанимателя (работодателю) для принятия решения о направлении информации в правоохранительные органы.</w:t>
      </w:r>
    </w:p>
    <w:p>
      <w:pPr>
        <w:pStyle w:val="0"/>
        <w:spacing w:before="200" w:lineRule="auto"/>
        <w:ind w:firstLine="540"/>
        <w:jc w:val="both"/>
      </w:pPr>
      <w:r>
        <w:rPr>
          <w:sz w:val="20"/>
        </w:rPr>
        <w:t xml:space="preserve">14. Отдел по профилактике коррупционных и иных правонарушений, кадровая служба, отдел кадров в недельный срок сообщают гражданскому служащему (работнику), подавшему уведомление, о решении, принятом представителем нанимателя (работодателем).</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 уведомления федеральными</w:t>
      </w:r>
    </w:p>
    <w:p>
      <w:pPr>
        <w:pStyle w:val="0"/>
        <w:jc w:val="right"/>
      </w:pPr>
      <w:r>
        <w:rPr>
          <w:sz w:val="20"/>
        </w:rPr>
        <w:t xml:space="preserve">государственными гражданскими служащими</w:t>
      </w:r>
    </w:p>
    <w:p>
      <w:pPr>
        <w:pStyle w:val="0"/>
        <w:jc w:val="right"/>
      </w:pPr>
      <w:r>
        <w:rPr>
          <w:sz w:val="20"/>
        </w:rPr>
        <w:t xml:space="preserve">центрального аппарата Федерального</w:t>
      </w:r>
    </w:p>
    <w:p>
      <w:pPr>
        <w:pStyle w:val="0"/>
        <w:jc w:val="right"/>
      </w:pPr>
      <w:r>
        <w:rPr>
          <w:sz w:val="20"/>
        </w:rPr>
        <w:t xml:space="preserve">казначейства, территориальных органов</w:t>
      </w:r>
    </w:p>
    <w:p>
      <w:pPr>
        <w:pStyle w:val="0"/>
        <w:jc w:val="right"/>
      </w:pPr>
      <w:r>
        <w:rPr>
          <w:sz w:val="20"/>
        </w:rPr>
        <w:t xml:space="preserve">Федерального казначейства, работниками</w:t>
      </w:r>
    </w:p>
    <w:p>
      <w:pPr>
        <w:pStyle w:val="0"/>
        <w:jc w:val="right"/>
      </w:pPr>
      <w:r>
        <w:rPr>
          <w:sz w:val="20"/>
        </w:rPr>
        <w:t xml:space="preserve">федерального казенного учреждения</w:t>
      </w:r>
    </w:p>
    <w:p>
      <w:pPr>
        <w:pStyle w:val="0"/>
        <w:jc w:val="right"/>
      </w:pPr>
      <w:r>
        <w:rPr>
          <w:sz w:val="20"/>
        </w:rPr>
        <w:t xml:space="preserve">"Центр по обеспечению деятельности</w:t>
      </w:r>
    </w:p>
    <w:p>
      <w:pPr>
        <w:pStyle w:val="0"/>
        <w:jc w:val="right"/>
      </w:pPr>
      <w:r>
        <w:rPr>
          <w:sz w:val="20"/>
        </w:rPr>
        <w:t xml:space="preserve">Казначейства России" представителя</w:t>
      </w:r>
    </w:p>
    <w:p>
      <w:pPr>
        <w:pStyle w:val="0"/>
        <w:jc w:val="right"/>
      </w:pPr>
      <w:r>
        <w:rPr>
          <w:sz w:val="20"/>
        </w:rPr>
        <w:t xml:space="preserve">нанимателя (работодателя) о фактах</w:t>
      </w:r>
    </w:p>
    <w:p>
      <w:pPr>
        <w:pStyle w:val="0"/>
        <w:jc w:val="right"/>
      </w:pPr>
      <w:r>
        <w:rPr>
          <w:sz w:val="20"/>
        </w:rPr>
        <w:t xml:space="preserve">обращения в целях склонения</w:t>
      </w:r>
    </w:p>
    <w:p>
      <w:pPr>
        <w:pStyle w:val="0"/>
        <w:jc w:val="right"/>
      </w:pPr>
      <w:r>
        <w:rPr>
          <w:sz w:val="20"/>
        </w:rPr>
        <w:t xml:space="preserve">их к совершению коррупционных</w:t>
      </w:r>
    </w:p>
    <w:p>
      <w:pPr>
        <w:pStyle w:val="0"/>
        <w:jc w:val="right"/>
      </w:pPr>
      <w:r>
        <w:rPr>
          <w:sz w:val="20"/>
        </w:rPr>
        <w:t xml:space="preserve">правонарушений, регистрации</w:t>
      </w:r>
    </w:p>
    <w:p>
      <w:pPr>
        <w:pStyle w:val="0"/>
        <w:jc w:val="right"/>
      </w:pPr>
      <w:r>
        <w:rPr>
          <w:sz w:val="20"/>
        </w:rPr>
        <w:t xml:space="preserve">таких уведомлений и организации</w:t>
      </w:r>
    </w:p>
    <w:p>
      <w:pPr>
        <w:pStyle w:val="0"/>
        <w:jc w:val="right"/>
      </w:pPr>
      <w:r>
        <w:rPr>
          <w:sz w:val="20"/>
        </w:rPr>
        <w:t xml:space="preserve">проверки содержащихся в них сведений,</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8 апреля 2015 г. N 10н</w:t>
      </w:r>
    </w:p>
    <w:p>
      <w:pPr>
        <w:pStyle w:val="0"/>
        <w:jc w:val="both"/>
      </w:pPr>
      <w:r>
        <w:rPr>
          <w:sz w:val="20"/>
        </w:rPr>
      </w:r>
    </w:p>
    <w:bookmarkStart w:id="99" w:name="P99"/>
    <w:bookmarkEnd w:id="99"/>
    <w:p>
      <w:pPr>
        <w:pStyle w:val="2"/>
        <w:jc w:val="center"/>
      </w:pPr>
      <w:r>
        <w:rPr>
          <w:sz w:val="20"/>
        </w:rPr>
        <w:t xml:space="preserve">ПЕРЕЧЕНЬ</w:t>
      </w:r>
    </w:p>
    <w:p>
      <w:pPr>
        <w:pStyle w:val="2"/>
        <w:jc w:val="center"/>
      </w:pPr>
      <w:r>
        <w:rPr>
          <w:sz w:val="20"/>
        </w:rPr>
        <w:t xml:space="preserve">СВЕДЕНИЙ, СОДЕРЖАЩИХСЯ В УВЕДОМЛЕНИЯХ ПРЕДСТАВИТЕЛЯ</w:t>
      </w:r>
    </w:p>
    <w:p>
      <w:pPr>
        <w:pStyle w:val="2"/>
        <w:jc w:val="center"/>
      </w:pPr>
      <w:r>
        <w:rPr>
          <w:sz w:val="20"/>
        </w:rPr>
        <w:t xml:space="preserve">НАНИМАТЕЛЯ (РАБОТОДАТЕЛЯ) О ФАКТАХ ОБРАЩЕНИЯ КАКИХ-ЛИБО ЛИЦ</w:t>
      </w:r>
    </w:p>
    <w:p>
      <w:pPr>
        <w:pStyle w:val="2"/>
        <w:jc w:val="center"/>
      </w:pPr>
      <w:r>
        <w:rPr>
          <w:sz w:val="20"/>
        </w:rPr>
        <w:t xml:space="preserve">В ЦЕЛЯХ СКЛОНЕНИЯ ФЕДЕРАЛЬНЫХ ГОСУДАРСТВЕННЫХ ГРАЖДАНСКИХ</w:t>
      </w:r>
    </w:p>
    <w:p>
      <w:pPr>
        <w:pStyle w:val="2"/>
        <w:jc w:val="center"/>
      </w:pPr>
      <w:r>
        <w:rPr>
          <w:sz w:val="20"/>
        </w:rPr>
        <w:t xml:space="preserve">СЛУЖАЩИХ ЦЕНТРАЛЬНОГО АППАРАТА ФЕДЕРАЛЬНОГО КАЗНАЧЕЙСТВА,</w:t>
      </w:r>
    </w:p>
    <w:p>
      <w:pPr>
        <w:pStyle w:val="2"/>
        <w:jc w:val="center"/>
      </w:pPr>
      <w:r>
        <w:rPr>
          <w:sz w:val="20"/>
        </w:rPr>
        <w:t xml:space="preserve">ТЕРРИТОРИАЛЬНЫХ ОРГАНОВ ФЕДЕРАЛЬНОГО КАЗНАЧЕЙСТВА,</w:t>
      </w:r>
    </w:p>
    <w:p>
      <w:pPr>
        <w:pStyle w:val="2"/>
        <w:jc w:val="center"/>
      </w:pPr>
      <w:r>
        <w:rPr>
          <w:sz w:val="20"/>
        </w:rPr>
        <w:t xml:space="preserve">РАБОТНИКОВ ФЕДЕРАЛЬНОГО КАЗЕННОГО УЧРЕЖДЕНИЯ "ЦЕНТР</w:t>
      </w:r>
    </w:p>
    <w:p>
      <w:pPr>
        <w:pStyle w:val="2"/>
        <w:jc w:val="center"/>
      </w:pPr>
      <w:r>
        <w:rPr>
          <w:sz w:val="20"/>
        </w:rPr>
        <w:t xml:space="preserve">ПО ОБЕСПЕЧЕНИЮ ДЕЯТЕЛЬНОСТИ КАЗНАЧЕЙСТВА РОССИИ"</w:t>
      </w:r>
    </w:p>
    <w:p>
      <w:pPr>
        <w:pStyle w:val="2"/>
        <w:jc w:val="center"/>
      </w:pPr>
      <w:r>
        <w:rPr>
          <w:sz w:val="20"/>
        </w:rPr>
        <w:t xml:space="preserve">К СОВЕРШЕНИЮ КОРРУПЦИОННЫХ ПРАВОНАРУШЕНИЙ</w:t>
      </w:r>
    </w:p>
    <w:p>
      <w:pPr>
        <w:pStyle w:val="0"/>
        <w:jc w:val="both"/>
      </w:pPr>
      <w:r>
        <w:rPr>
          <w:sz w:val="20"/>
        </w:rPr>
      </w:r>
    </w:p>
    <w:p>
      <w:pPr>
        <w:pStyle w:val="0"/>
        <w:ind w:firstLine="540"/>
        <w:jc w:val="both"/>
      </w:pPr>
      <w:r>
        <w:rPr>
          <w:sz w:val="20"/>
        </w:rPr>
        <w:t xml:space="preserve">1. Фамилия, имя, отчество, замещаемая (занимаемая) должность лица, на имя которого направляется уведомление.</w:t>
      </w:r>
    </w:p>
    <w:p>
      <w:pPr>
        <w:pStyle w:val="0"/>
        <w:spacing w:before="200" w:lineRule="auto"/>
        <w:ind w:firstLine="540"/>
        <w:jc w:val="both"/>
      </w:pPr>
      <w:r>
        <w:rPr>
          <w:sz w:val="20"/>
        </w:rPr>
        <w:t xml:space="preserve">2. Фамилия, имя и отчество федерального государственного гражданского служащего центрального аппарата Федерального казначейства, территориального органа Федерального казначейства, работника федерального казенного учреждения "Центр по обеспечению деятельности Казначейства России" (далее - гражданский служащий, работник).</w:t>
      </w:r>
    </w:p>
    <w:p>
      <w:pPr>
        <w:pStyle w:val="0"/>
        <w:spacing w:before="200" w:lineRule="auto"/>
        <w:ind w:firstLine="540"/>
        <w:jc w:val="both"/>
      </w:pPr>
      <w:r>
        <w:rPr>
          <w:sz w:val="20"/>
        </w:rPr>
        <w:t xml:space="preserve">3. Должность, замещаемая гражданским служащим (работником).</w:t>
      </w:r>
    </w:p>
    <w:p>
      <w:pPr>
        <w:pStyle w:val="0"/>
        <w:spacing w:before="200" w:lineRule="auto"/>
        <w:ind w:firstLine="540"/>
        <w:jc w:val="both"/>
      </w:pPr>
      <w:r>
        <w:rPr>
          <w:sz w:val="20"/>
        </w:rPr>
        <w:t xml:space="preserve">4. Структурное подразделение центрального аппарата Федерального казначейства, территориального органа Федерального казначейства, в котором гражданский служащий проходит федеральную государственную гражданскую службу, наименование структурного подразделения федерального казенного учреждения "Центр по обеспечению деятельности Казначейства России", в котором работник занимает должность.</w:t>
      </w:r>
    </w:p>
    <w:p>
      <w:pPr>
        <w:pStyle w:val="0"/>
        <w:spacing w:before="200" w:lineRule="auto"/>
        <w:ind w:firstLine="540"/>
        <w:jc w:val="both"/>
      </w:pPr>
      <w:r>
        <w:rPr>
          <w:sz w:val="20"/>
        </w:rPr>
        <w:t xml:space="preserve">5. Информация о факте обращения в целях склонения гражданского служащего (работника) к совершению коррупционного правонарушения:</w:t>
      </w:r>
    </w:p>
    <w:p>
      <w:pPr>
        <w:pStyle w:val="0"/>
        <w:spacing w:before="200" w:lineRule="auto"/>
        <w:ind w:firstLine="540"/>
        <w:jc w:val="both"/>
      </w:pPr>
      <w:r>
        <w:rPr>
          <w:sz w:val="20"/>
        </w:rPr>
        <w:t xml:space="preserve">информация о лице (лицах), склонявшем(их) гражданского служащего (работника) к совершению коррупционного правонарушения;</w:t>
      </w:r>
    </w:p>
    <w:p>
      <w:pPr>
        <w:pStyle w:val="0"/>
        <w:spacing w:before="200" w:lineRule="auto"/>
        <w:ind w:firstLine="540"/>
        <w:jc w:val="both"/>
      </w:pPr>
      <w:r>
        <w:rPr>
          <w:sz w:val="20"/>
        </w:rPr>
        <w:t xml:space="preserve">информация о месте, времени и иных обстоятельствах обращения в целях склонения гражданского служащего (работника) к совершению коррупционного правонарушения;</w:t>
      </w:r>
    </w:p>
    <w:p>
      <w:pPr>
        <w:pStyle w:val="0"/>
        <w:spacing w:before="200" w:lineRule="auto"/>
        <w:ind w:firstLine="540"/>
        <w:jc w:val="both"/>
      </w:pPr>
      <w:r>
        <w:rPr>
          <w:sz w:val="20"/>
        </w:rPr>
        <w:t xml:space="preserve">сущность коррупционного правонарушения, к совершению которого склоняется гражданский служащий (работник);</w:t>
      </w:r>
    </w:p>
    <w:p>
      <w:pPr>
        <w:pStyle w:val="0"/>
        <w:spacing w:before="200" w:lineRule="auto"/>
        <w:ind w:firstLine="540"/>
        <w:jc w:val="both"/>
      </w:pPr>
      <w:r>
        <w:rPr>
          <w:sz w:val="20"/>
        </w:rPr>
        <w:t xml:space="preserve">информация о сущности предполагаемого правонарушения (действие (бездействие) гражданского служащего (работника), к которому склоняется гражданский служащий (работник).</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 уведомления федеральными</w:t>
      </w:r>
    </w:p>
    <w:p>
      <w:pPr>
        <w:pStyle w:val="0"/>
        <w:jc w:val="right"/>
      </w:pPr>
      <w:r>
        <w:rPr>
          <w:sz w:val="20"/>
        </w:rPr>
        <w:t xml:space="preserve">государственными гражданскими служащими</w:t>
      </w:r>
    </w:p>
    <w:p>
      <w:pPr>
        <w:pStyle w:val="0"/>
        <w:jc w:val="right"/>
      </w:pPr>
      <w:r>
        <w:rPr>
          <w:sz w:val="20"/>
        </w:rPr>
        <w:t xml:space="preserve">центрального аппарата Федерального</w:t>
      </w:r>
    </w:p>
    <w:p>
      <w:pPr>
        <w:pStyle w:val="0"/>
        <w:jc w:val="right"/>
      </w:pPr>
      <w:r>
        <w:rPr>
          <w:sz w:val="20"/>
        </w:rPr>
        <w:t xml:space="preserve">казначейства, территориальных органов</w:t>
      </w:r>
    </w:p>
    <w:p>
      <w:pPr>
        <w:pStyle w:val="0"/>
        <w:jc w:val="right"/>
      </w:pPr>
      <w:r>
        <w:rPr>
          <w:sz w:val="20"/>
        </w:rPr>
        <w:t xml:space="preserve">Федерального казначейства, работниками</w:t>
      </w:r>
    </w:p>
    <w:p>
      <w:pPr>
        <w:pStyle w:val="0"/>
        <w:jc w:val="right"/>
      </w:pPr>
      <w:r>
        <w:rPr>
          <w:sz w:val="20"/>
        </w:rPr>
        <w:t xml:space="preserve">федерального казенного учреждения</w:t>
      </w:r>
    </w:p>
    <w:p>
      <w:pPr>
        <w:pStyle w:val="0"/>
        <w:jc w:val="right"/>
      </w:pPr>
      <w:r>
        <w:rPr>
          <w:sz w:val="20"/>
        </w:rPr>
        <w:t xml:space="preserve">"Центр по обеспечению деятельности</w:t>
      </w:r>
    </w:p>
    <w:p>
      <w:pPr>
        <w:pStyle w:val="0"/>
        <w:jc w:val="right"/>
      </w:pPr>
      <w:r>
        <w:rPr>
          <w:sz w:val="20"/>
        </w:rPr>
        <w:t xml:space="preserve">Казначейства России" представителя</w:t>
      </w:r>
    </w:p>
    <w:p>
      <w:pPr>
        <w:pStyle w:val="0"/>
        <w:jc w:val="right"/>
      </w:pPr>
      <w:r>
        <w:rPr>
          <w:sz w:val="20"/>
        </w:rPr>
        <w:t xml:space="preserve">нанимателя (работодателя) о фактах</w:t>
      </w:r>
    </w:p>
    <w:p>
      <w:pPr>
        <w:pStyle w:val="0"/>
        <w:jc w:val="right"/>
      </w:pPr>
      <w:r>
        <w:rPr>
          <w:sz w:val="20"/>
        </w:rPr>
        <w:t xml:space="preserve">обращения в целях склонения</w:t>
      </w:r>
    </w:p>
    <w:p>
      <w:pPr>
        <w:pStyle w:val="0"/>
        <w:jc w:val="right"/>
      </w:pPr>
      <w:r>
        <w:rPr>
          <w:sz w:val="20"/>
        </w:rPr>
        <w:t xml:space="preserve">их к совершению коррупционных</w:t>
      </w:r>
    </w:p>
    <w:p>
      <w:pPr>
        <w:pStyle w:val="0"/>
        <w:jc w:val="right"/>
      </w:pPr>
      <w:r>
        <w:rPr>
          <w:sz w:val="20"/>
        </w:rPr>
        <w:t xml:space="preserve">правонарушений, регистрации</w:t>
      </w:r>
    </w:p>
    <w:p>
      <w:pPr>
        <w:pStyle w:val="0"/>
        <w:jc w:val="right"/>
      </w:pPr>
      <w:r>
        <w:rPr>
          <w:sz w:val="20"/>
        </w:rPr>
        <w:t xml:space="preserve">таких уведомлений и организации</w:t>
      </w:r>
    </w:p>
    <w:p>
      <w:pPr>
        <w:pStyle w:val="0"/>
        <w:jc w:val="right"/>
      </w:pPr>
      <w:r>
        <w:rPr>
          <w:sz w:val="20"/>
        </w:rPr>
        <w:t xml:space="preserve">проверки содержащихся в них сведений,</w:t>
      </w:r>
    </w:p>
    <w:p>
      <w:pPr>
        <w:pStyle w:val="0"/>
        <w:jc w:val="right"/>
      </w:pPr>
      <w:r>
        <w:rPr>
          <w:sz w:val="20"/>
        </w:rPr>
        <w:t xml:space="preserve">утвержденному приказом</w:t>
      </w:r>
    </w:p>
    <w:p>
      <w:pPr>
        <w:pStyle w:val="0"/>
        <w:jc w:val="right"/>
      </w:pPr>
      <w:r>
        <w:rPr>
          <w:sz w:val="20"/>
        </w:rPr>
        <w:t xml:space="preserve">Федерального казначейства</w:t>
      </w:r>
    </w:p>
    <w:p>
      <w:pPr>
        <w:pStyle w:val="0"/>
        <w:jc w:val="right"/>
      </w:pPr>
      <w:r>
        <w:rPr>
          <w:sz w:val="20"/>
        </w:rPr>
        <w:t xml:space="preserve">от 8 апреля 2015 г. N 10н</w:t>
      </w:r>
    </w:p>
    <w:p>
      <w:pPr>
        <w:pStyle w:val="0"/>
        <w:jc w:val="both"/>
      </w:pPr>
      <w:r>
        <w:rPr>
          <w:sz w:val="20"/>
        </w:rPr>
      </w:r>
    </w:p>
    <w:bookmarkStart w:id="142" w:name="P142"/>
    <w:bookmarkEnd w:id="142"/>
    <w:p>
      <w:pPr>
        <w:pStyle w:val="1"/>
        <w:jc w:val="both"/>
      </w:pPr>
      <w:r>
        <w:rPr>
          <w:sz w:val="20"/>
        </w:rPr>
        <w:t xml:space="preserve">                                  Журнал</w:t>
      </w:r>
    </w:p>
    <w:p>
      <w:pPr>
        <w:pStyle w:val="1"/>
        <w:jc w:val="both"/>
      </w:pPr>
      <w:r>
        <w:rPr>
          <w:sz w:val="20"/>
        </w:rPr>
        <w:t xml:space="preserve">           регистрации уведомлений федеральными государственными</w:t>
      </w:r>
    </w:p>
    <w:p>
      <w:pPr>
        <w:pStyle w:val="1"/>
        <w:jc w:val="both"/>
      </w:pPr>
      <w:r>
        <w:rPr>
          <w:sz w:val="20"/>
        </w:rPr>
        <w:t xml:space="preserve">         гражданскими служащими центрального аппарата Федерального</w:t>
      </w:r>
    </w:p>
    <w:p>
      <w:pPr>
        <w:pStyle w:val="1"/>
        <w:jc w:val="both"/>
      </w:pPr>
      <w:r>
        <w:rPr>
          <w:sz w:val="20"/>
        </w:rPr>
        <w:t xml:space="preserve">            казначейства, территориальных органов Федерального</w:t>
      </w:r>
    </w:p>
    <w:p>
      <w:pPr>
        <w:pStyle w:val="1"/>
        <w:jc w:val="both"/>
      </w:pPr>
      <w:r>
        <w:rPr>
          <w:sz w:val="20"/>
        </w:rPr>
        <w:t xml:space="preserve">            казначейства, работниками ФКУ "ЦОКР" представителя</w:t>
      </w:r>
    </w:p>
    <w:p>
      <w:pPr>
        <w:pStyle w:val="1"/>
        <w:jc w:val="both"/>
      </w:pPr>
      <w:r>
        <w:rPr>
          <w:sz w:val="20"/>
        </w:rPr>
        <w:t xml:space="preserve">               нанимателя (работодателя) о фактах обращения</w:t>
      </w:r>
    </w:p>
    <w:p>
      <w:pPr>
        <w:pStyle w:val="1"/>
        <w:jc w:val="both"/>
      </w:pPr>
      <w:r>
        <w:rPr>
          <w:sz w:val="20"/>
        </w:rPr>
        <w:t xml:space="preserve">                     в целях склонения их к совершению</w:t>
      </w:r>
    </w:p>
    <w:p>
      <w:pPr>
        <w:pStyle w:val="1"/>
        <w:jc w:val="both"/>
      </w:pPr>
      <w:r>
        <w:rPr>
          <w:sz w:val="20"/>
        </w:rPr>
        <w:t xml:space="preserve">                       коррупционных правонарушений</w:t>
      </w:r>
    </w:p>
    <w:p>
      <w:pPr>
        <w:pStyle w:val="1"/>
        <w:jc w:val="both"/>
      </w:pPr>
      <w:r>
        <w:rPr>
          <w:sz w:val="20"/>
        </w:rPr>
      </w:r>
    </w:p>
    <w:p>
      <w:pPr>
        <w:pStyle w:val="1"/>
        <w:jc w:val="both"/>
      </w:pPr>
      <w:r>
        <w:rPr>
          <w:sz w:val="20"/>
        </w:rPr>
        <w:t xml:space="preserve">                                                    (рекомендуемый образец)</w:t>
      </w:r>
    </w:p>
    <w:p>
      <w:pPr>
        <w:pStyle w:val="1"/>
        <w:jc w:val="both"/>
      </w:pPr>
      <w:r>
        <w:rPr>
          <w:sz w:val="20"/>
        </w:rPr>
      </w:r>
    </w:p>
    <w:p>
      <w:pPr>
        <w:pStyle w:val="1"/>
        <w:jc w:val="both"/>
      </w:pPr>
      <w:r>
        <w:rPr>
          <w:sz w:val="20"/>
        </w:rPr>
        <w:t xml:space="preserve">                                          Начат   "__" ___________ 20__ гг.</w:t>
      </w:r>
    </w:p>
    <w:p>
      <w:pPr>
        <w:pStyle w:val="1"/>
        <w:jc w:val="both"/>
      </w:pPr>
      <w:r>
        <w:rPr>
          <w:sz w:val="20"/>
        </w:rPr>
        <w:t xml:space="preserve">                                          Окончен "__" ___________ 20__ гг.</w:t>
      </w:r>
    </w:p>
    <w:p>
      <w:pPr>
        <w:pStyle w:val="1"/>
        <w:jc w:val="both"/>
      </w:pPr>
      <w:r>
        <w:rPr>
          <w:sz w:val="20"/>
        </w:rPr>
      </w:r>
    </w:p>
    <w:p>
      <w:pPr>
        <w:pStyle w:val="1"/>
        <w:jc w:val="both"/>
      </w:pPr>
      <w:r>
        <w:rPr>
          <w:sz w:val="20"/>
        </w:rPr>
        <w:t xml:space="preserve">                                                  На _______ листах</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2"/>
        <w:gridCol w:w="747"/>
        <w:gridCol w:w="835"/>
        <w:gridCol w:w="924"/>
        <w:gridCol w:w="840"/>
        <w:gridCol w:w="840"/>
        <w:gridCol w:w="924"/>
        <w:gridCol w:w="1007"/>
        <w:gridCol w:w="857"/>
        <w:gridCol w:w="1509"/>
        <w:gridCol w:w="704"/>
      </w:tblGrid>
      <w:tr>
        <w:tc>
          <w:tcPr>
            <w:tcW w:w="452" w:type="dxa"/>
          </w:tcPr>
          <w:p>
            <w:pPr>
              <w:pStyle w:val="0"/>
              <w:jc w:val="center"/>
            </w:pPr>
            <w:r>
              <w:rPr>
                <w:sz w:val="20"/>
              </w:rPr>
              <w:t xml:space="preserve">N п/п</w:t>
            </w:r>
          </w:p>
        </w:tc>
        <w:tc>
          <w:tcPr>
            <w:tcW w:w="747" w:type="dxa"/>
          </w:tcPr>
          <w:p>
            <w:pPr>
              <w:pStyle w:val="0"/>
              <w:jc w:val="center"/>
            </w:pPr>
            <w:r>
              <w:rPr>
                <w:sz w:val="20"/>
              </w:rPr>
              <w:t xml:space="preserve">Регистрационный номер</w:t>
            </w:r>
          </w:p>
        </w:tc>
        <w:tc>
          <w:tcPr>
            <w:tcW w:w="835" w:type="dxa"/>
          </w:tcPr>
          <w:p>
            <w:pPr>
              <w:pStyle w:val="0"/>
              <w:jc w:val="center"/>
            </w:pPr>
            <w:r>
              <w:rPr>
                <w:sz w:val="20"/>
              </w:rPr>
              <w:t xml:space="preserve">Дата и время регистрации уведомления</w:t>
            </w:r>
          </w:p>
        </w:tc>
        <w:tc>
          <w:tcPr>
            <w:tcW w:w="924" w:type="dxa"/>
          </w:tcPr>
          <w:p>
            <w:pPr>
              <w:pStyle w:val="0"/>
              <w:jc w:val="center"/>
            </w:pPr>
            <w:r>
              <w:rPr>
                <w:sz w:val="20"/>
              </w:rPr>
              <w:t xml:space="preserve">Ф.И.О., должность подавшего уведомление</w:t>
            </w:r>
          </w:p>
        </w:tc>
        <w:tc>
          <w:tcPr>
            <w:tcW w:w="840" w:type="dxa"/>
          </w:tcPr>
          <w:p>
            <w:pPr>
              <w:pStyle w:val="0"/>
              <w:jc w:val="center"/>
            </w:pPr>
            <w:r>
              <w:rPr>
                <w:sz w:val="20"/>
              </w:rPr>
              <w:t xml:space="preserve">Краткое содержание уведомления</w:t>
            </w:r>
          </w:p>
        </w:tc>
        <w:tc>
          <w:tcPr>
            <w:tcW w:w="840" w:type="dxa"/>
          </w:tcPr>
          <w:p>
            <w:pPr>
              <w:pStyle w:val="0"/>
              <w:jc w:val="center"/>
            </w:pPr>
            <w:r>
              <w:rPr>
                <w:sz w:val="20"/>
              </w:rPr>
              <w:t xml:space="preserve">Сведения о результатах проверки</w:t>
            </w:r>
          </w:p>
        </w:tc>
        <w:tc>
          <w:tcPr>
            <w:tcW w:w="924" w:type="dxa"/>
          </w:tcPr>
          <w:p>
            <w:pPr>
              <w:pStyle w:val="0"/>
              <w:jc w:val="center"/>
            </w:pPr>
            <w:r>
              <w:rPr>
                <w:sz w:val="20"/>
              </w:rPr>
              <w:t xml:space="preserve">Сведения о принятом решении</w:t>
            </w:r>
          </w:p>
        </w:tc>
        <w:tc>
          <w:tcPr>
            <w:tcW w:w="1007" w:type="dxa"/>
          </w:tcPr>
          <w:p>
            <w:pPr>
              <w:pStyle w:val="0"/>
              <w:jc w:val="center"/>
            </w:pPr>
            <w:r>
              <w:rPr>
                <w:sz w:val="20"/>
              </w:rPr>
              <w:t xml:space="preserve">Ф.И.О. регистрирующего</w:t>
            </w:r>
          </w:p>
        </w:tc>
        <w:tc>
          <w:tcPr>
            <w:tcW w:w="857" w:type="dxa"/>
          </w:tcPr>
          <w:p>
            <w:pPr>
              <w:pStyle w:val="0"/>
              <w:jc w:val="center"/>
            </w:pPr>
            <w:r>
              <w:rPr>
                <w:sz w:val="20"/>
              </w:rPr>
              <w:t xml:space="preserve">Подпись регистрирующего</w:t>
            </w:r>
          </w:p>
        </w:tc>
        <w:tc>
          <w:tcPr>
            <w:tcW w:w="1509" w:type="dxa"/>
          </w:tcPr>
          <w:p>
            <w:pPr>
              <w:pStyle w:val="0"/>
              <w:jc w:val="center"/>
            </w:pPr>
            <w:r>
              <w:rPr>
                <w:sz w:val="20"/>
              </w:rPr>
              <w:t xml:space="preserve">Подпись гражданского служащего (работника), подавшего уведомление</w:t>
            </w:r>
          </w:p>
        </w:tc>
        <w:tc>
          <w:tcPr>
            <w:tcW w:w="704" w:type="dxa"/>
          </w:tcPr>
          <w:p>
            <w:pPr>
              <w:pStyle w:val="0"/>
              <w:jc w:val="center"/>
            </w:pPr>
            <w:r>
              <w:rPr>
                <w:sz w:val="20"/>
              </w:rPr>
              <w:t xml:space="preserve">Особые отметки</w:t>
            </w:r>
          </w:p>
        </w:tc>
      </w:tr>
      <w:tr>
        <w:tc>
          <w:tcPr>
            <w:tcW w:w="452" w:type="dxa"/>
          </w:tcPr>
          <w:p>
            <w:pPr>
              <w:pStyle w:val="0"/>
              <w:jc w:val="center"/>
            </w:pPr>
            <w:r>
              <w:rPr>
                <w:sz w:val="20"/>
              </w:rPr>
              <w:t xml:space="preserve">1</w:t>
            </w:r>
          </w:p>
        </w:tc>
        <w:tc>
          <w:tcPr>
            <w:tcW w:w="747" w:type="dxa"/>
          </w:tcPr>
          <w:p>
            <w:pPr>
              <w:pStyle w:val="0"/>
              <w:jc w:val="center"/>
            </w:pPr>
            <w:r>
              <w:rPr>
                <w:sz w:val="20"/>
              </w:rPr>
              <w:t xml:space="preserve">2</w:t>
            </w:r>
          </w:p>
        </w:tc>
        <w:tc>
          <w:tcPr>
            <w:tcW w:w="835" w:type="dxa"/>
          </w:tcPr>
          <w:p>
            <w:pPr>
              <w:pStyle w:val="0"/>
              <w:jc w:val="center"/>
            </w:pPr>
            <w:r>
              <w:rPr>
                <w:sz w:val="20"/>
              </w:rPr>
              <w:t xml:space="preserve">3</w:t>
            </w:r>
          </w:p>
        </w:tc>
        <w:tc>
          <w:tcPr>
            <w:tcW w:w="924" w:type="dxa"/>
          </w:tcPr>
          <w:p>
            <w:pPr>
              <w:pStyle w:val="0"/>
              <w:jc w:val="center"/>
            </w:pPr>
            <w:r>
              <w:rPr>
                <w:sz w:val="20"/>
              </w:rPr>
              <w:t xml:space="preserve">4</w:t>
            </w:r>
          </w:p>
        </w:tc>
        <w:tc>
          <w:tcPr>
            <w:tcW w:w="840" w:type="dxa"/>
          </w:tcPr>
          <w:p>
            <w:pPr>
              <w:pStyle w:val="0"/>
              <w:jc w:val="center"/>
            </w:pPr>
            <w:r>
              <w:rPr>
                <w:sz w:val="20"/>
              </w:rPr>
              <w:t xml:space="preserve">5</w:t>
            </w:r>
          </w:p>
        </w:tc>
        <w:tc>
          <w:tcPr>
            <w:tcW w:w="840" w:type="dxa"/>
          </w:tcPr>
          <w:p>
            <w:pPr>
              <w:pStyle w:val="0"/>
              <w:jc w:val="center"/>
            </w:pPr>
            <w:r>
              <w:rPr>
                <w:sz w:val="20"/>
              </w:rPr>
              <w:t xml:space="preserve">6</w:t>
            </w:r>
          </w:p>
        </w:tc>
        <w:tc>
          <w:tcPr>
            <w:tcW w:w="924" w:type="dxa"/>
          </w:tcPr>
          <w:p>
            <w:pPr>
              <w:pStyle w:val="0"/>
              <w:jc w:val="center"/>
            </w:pPr>
            <w:r>
              <w:rPr>
                <w:sz w:val="20"/>
              </w:rPr>
              <w:t xml:space="preserve">7</w:t>
            </w:r>
          </w:p>
        </w:tc>
        <w:tc>
          <w:tcPr>
            <w:tcW w:w="1007" w:type="dxa"/>
          </w:tcPr>
          <w:p>
            <w:pPr>
              <w:pStyle w:val="0"/>
              <w:jc w:val="center"/>
            </w:pPr>
            <w:r>
              <w:rPr>
                <w:sz w:val="20"/>
              </w:rPr>
              <w:t xml:space="preserve">8</w:t>
            </w:r>
          </w:p>
        </w:tc>
        <w:tc>
          <w:tcPr>
            <w:tcW w:w="857" w:type="dxa"/>
          </w:tcPr>
          <w:p>
            <w:pPr>
              <w:pStyle w:val="0"/>
              <w:jc w:val="center"/>
            </w:pPr>
            <w:r>
              <w:rPr>
                <w:sz w:val="20"/>
              </w:rPr>
              <w:t xml:space="preserve">9</w:t>
            </w:r>
          </w:p>
        </w:tc>
        <w:tc>
          <w:tcPr>
            <w:tcW w:w="1509" w:type="dxa"/>
          </w:tcPr>
          <w:bookmarkStart w:id="178" w:name="P178"/>
          <w:bookmarkEnd w:id="178"/>
          <w:p>
            <w:pPr>
              <w:pStyle w:val="0"/>
              <w:jc w:val="center"/>
            </w:pPr>
            <w:r>
              <w:rPr>
                <w:sz w:val="20"/>
              </w:rPr>
              <w:t xml:space="preserve">10</w:t>
            </w:r>
          </w:p>
        </w:tc>
        <w:tc>
          <w:tcPr>
            <w:tcW w:w="704" w:type="dxa"/>
          </w:tcPr>
          <w:p>
            <w:pPr>
              <w:pStyle w:val="0"/>
              <w:jc w:val="center"/>
            </w:pPr>
            <w:r>
              <w:rPr>
                <w:sz w:val="20"/>
              </w:rPr>
              <w:t xml:space="preserve">11</w:t>
            </w:r>
          </w:p>
        </w:tc>
      </w:tr>
      <w:tr>
        <w:tc>
          <w:tcPr>
            <w:tcW w:w="452" w:type="dxa"/>
          </w:tcPr>
          <w:p>
            <w:pPr>
              <w:pStyle w:val="0"/>
            </w:pPr>
            <w:r>
              <w:rPr>
                <w:sz w:val="20"/>
              </w:rPr>
            </w:r>
          </w:p>
        </w:tc>
        <w:tc>
          <w:tcPr>
            <w:tcW w:w="747" w:type="dxa"/>
          </w:tcPr>
          <w:p>
            <w:pPr>
              <w:pStyle w:val="0"/>
            </w:pPr>
            <w:r>
              <w:rPr>
                <w:sz w:val="20"/>
              </w:rPr>
            </w:r>
          </w:p>
        </w:tc>
        <w:tc>
          <w:tcPr>
            <w:tcW w:w="835" w:type="dxa"/>
          </w:tcPr>
          <w:p>
            <w:pPr>
              <w:pStyle w:val="0"/>
            </w:pPr>
            <w:r>
              <w:rPr>
                <w:sz w:val="20"/>
              </w:rPr>
            </w:r>
          </w:p>
        </w:tc>
        <w:tc>
          <w:tcPr>
            <w:tcW w:w="924" w:type="dxa"/>
          </w:tcPr>
          <w:p>
            <w:pPr>
              <w:pStyle w:val="0"/>
            </w:pPr>
            <w:r>
              <w:rPr>
                <w:sz w:val="20"/>
              </w:rPr>
            </w:r>
          </w:p>
        </w:tc>
        <w:tc>
          <w:tcPr>
            <w:tcW w:w="840" w:type="dxa"/>
          </w:tcPr>
          <w:p>
            <w:pPr>
              <w:pStyle w:val="0"/>
            </w:pPr>
            <w:r>
              <w:rPr>
                <w:sz w:val="20"/>
              </w:rPr>
            </w:r>
          </w:p>
        </w:tc>
        <w:tc>
          <w:tcPr>
            <w:tcW w:w="840" w:type="dxa"/>
          </w:tcPr>
          <w:p>
            <w:pPr>
              <w:pStyle w:val="0"/>
            </w:pPr>
            <w:r>
              <w:rPr>
                <w:sz w:val="20"/>
              </w:rPr>
            </w:r>
          </w:p>
        </w:tc>
        <w:tc>
          <w:tcPr>
            <w:tcW w:w="924" w:type="dxa"/>
          </w:tcPr>
          <w:p>
            <w:pPr>
              <w:pStyle w:val="0"/>
            </w:pPr>
            <w:r>
              <w:rPr>
                <w:sz w:val="20"/>
              </w:rPr>
            </w:r>
          </w:p>
        </w:tc>
        <w:tc>
          <w:tcPr>
            <w:tcW w:w="1007" w:type="dxa"/>
          </w:tcPr>
          <w:p>
            <w:pPr>
              <w:pStyle w:val="0"/>
            </w:pPr>
            <w:r>
              <w:rPr>
                <w:sz w:val="20"/>
              </w:rPr>
            </w:r>
          </w:p>
        </w:tc>
        <w:tc>
          <w:tcPr>
            <w:tcW w:w="857" w:type="dxa"/>
          </w:tcPr>
          <w:p>
            <w:pPr>
              <w:pStyle w:val="0"/>
            </w:pPr>
            <w:r>
              <w:rPr>
                <w:sz w:val="20"/>
              </w:rPr>
            </w:r>
          </w:p>
        </w:tc>
        <w:tc>
          <w:tcPr>
            <w:tcW w:w="1509" w:type="dxa"/>
          </w:tcPr>
          <w:p>
            <w:pPr>
              <w:pStyle w:val="0"/>
            </w:pPr>
            <w:r>
              <w:rPr>
                <w:sz w:val="20"/>
              </w:rPr>
            </w:r>
          </w:p>
        </w:tc>
        <w:tc>
          <w:tcPr>
            <w:tcW w:w="704" w:type="dxa"/>
          </w:tcPr>
          <w:p>
            <w:pPr>
              <w:pStyle w:val="0"/>
            </w:pPr>
            <w:r>
              <w:rPr>
                <w:sz w:val="20"/>
              </w:rPr>
            </w:r>
          </w:p>
        </w:tc>
      </w:tr>
      <w:tr>
        <w:tc>
          <w:tcPr>
            <w:tcW w:w="452" w:type="dxa"/>
          </w:tcPr>
          <w:p>
            <w:pPr>
              <w:pStyle w:val="0"/>
            </w:pPr>
            <w:r>
              <w:rPr>
                <w:sz w:val="20"/>
              </w:rPr>
            </w:r>
          </w:p>
        </w:tc>
        <w:tc>
          <w:tcPr>
            <w:tcW w:w="747" w:type="dxa"/>
          </w:tcPr>
          <w:p>
            <w:pPr>
              <w:pStyle w:val="0"/>
            </w:pPr>
            <w:r>
              <w:rPr>
                <w:sz w:val="20"/>
              </w:rPr>
            </w:r>
          </w:p>
        </w:tc>
        <w:tc>
          <w:tcPr>
            <w:tcW w:w="835" w:type="dxa"/>
          </w:tcPr>
          <w:p>
            <w:pPr>
              <w:pStyle w:val="0"/>
            </w:pPr>
            <w:r>
              <w:rPr>
                <w:sz w:val="20"/>
              </w:rPr>
            </w:r>
          </w:p>
        </w:tc>
        <w:tc>
          <w:tcPr>
            <w:tcW w:w="924" w:type="dxa"/>
          </w:tcPr>
          <w:p>
            <w:pPr>
              <w:pStyle w:val="0"/>
            </w:pPr>
            <w:r>
              <w:rPr>
                <w:sz w:val="20"/>
              </w:rPr>
            </w:r>
          </w:p>
        </w:tc>
        <w:tc>
          <w:tcPr>
            <w:tcW w:w="840" w:type="dxa"/>
          </w:tcPr>
          <w:p>
            <w:pPr>
              <w:pStyle w:val="0"/>
            </w:pPr>
            <w:r>
              <w:rPr>
                <w:sz w:val="20"/>
              </w:rPr>
            </w:r>
          </w:p>
        </w:tc>
        <w:tc>
          <w:tcPr>
            <w:tcW w:w="840" w:type="dxa"/>
          </w:tcPr>
          <w:p>
            <w:pPr>
              <w:pStyle w:val="0"/>
            </w:pPr>
            <w:r>
              <w:rPr>
                <w:sz w:val="20"/>
              </w:rPr>
            </w:r>
          </w:p>
        </w:tc>
        <w:tc>
          <w:tcPr>
            <w:tcW w:w="924" w:type="dxa"/>
          </w:tcPr>
          <w:p>
            <w:pPr>
              <w:pStyle w:val="0"/>
            </w:pPr>
            <w:r>
              <w:rPr>
                <w:sz w:val="20"/>
              </w:rPr>
            </w:r>
          </w:p>
        </w:tc>
        <w:tc>
          <w:tcPr>
            <w:tcW w:w="1007" w:type="dxa"/>
          </w:tcPr>
          <w:p>
            <w:pPr>
              <w:pStyle w:val="0"/>
            </w:pPr>
            <w:r>
              <w:rPr>
                <w:sz w:val="20"/>
              </w:rPr>
            </w:r>
          </w:p>
        </w:tc>
        <w:tc>
          <w:tcPr>
            <w:tcW w:w="857" w:type="dxa"/>
          </w:tcPr>
          <w:p>
            <w:pPr>
              <w:pStyle w:val="0"/>
            </w:pPr>
            <w:r>
              <w:rPr>
                <w:sz w:val="20"/>
              </w:rPr>
            </w:r>
          </w:p>
        </w:tc>
        <w:tc>
          <w:tcPr>
            <w:tcW w:w="1509" w:type="dxa"/>
          </w:tcPr>
          <w:p>
            <w:pPr>
              <w:pStyle w:val="0"/>
            </w:pPr>
            <w:r>
              <w:rPr>
                <w:sz w:val="20"/>
              </w:rPr>
            </w:r>
          </w:p>
        </w:tc>
        <w:tc>
          <w:tcPr>
            <w:tcW w:w="704" w:type="dxa"/>
          </w:tcPr>
          <w:p>
            <w:pPr>
              <w:pStyle w:val="0"/>
            </w:pPr>
            <w:r>
              <w:rPr>
                <w:sz w:val="20"/>
              </w:rPr>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Казначейства России от 08.04.2015 N 10н</w:t>
            <w:br/>
            <w:t>(ред. от 06.08.2018)</w:t>
            <w:br/>
            <w:t>"Об утверждении Порядка уведомления федеральными гос...</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18.02.2026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consultantplus://offline/ref=3D3A8A5D6B0366814A4AB9060B76C12EC303579BB3007A39E0F941B53D5E349510D0B8B59676F1D3A9ECEFE3AFA09BFA75CEAAB6B68C8DE77182zAx7N" TargetMode = "External"/><Relationship Id="rId9" Type="http://schemas.openxmlformats.org/officeDocument/2006/relationships/hyperlink" Target="consultantplus://offline/ref=3D3A8A5D6B0366814A4AA6110E749F21C95A589FB20B756CB7FB10E0335B3CC558C0F6F09B77F1DAAAE5B3B9BFA4D2AE70D1A2AAA88C93E7z7x7N" TargetMode = "External"/><Relationship Id="rId10" Type="http://schemas.openxmlformats.org/officeDocument/2006/relationships/hyperlink" Target="consultantplus://offline/ref=3D3A8A5D6B0366814A4AA6110E749F21C95A589FB20B756CB7FB10E0335B3CC558C0F6F9997CA582EDBBEAE9F3EFDFAD66CDA2AAzBx0N" TargetMode = "External"/><Relationship Id="rId11" Type="http://schemas.openxmlformats.org/officeDocument/2006/relationships/hyperlink" Target="consultantplus://offline/ref=3D3A8A5D6B0366814A4AB9060B76C12EC3035799B60E7931BDF349EC315C339A4FD5BFA49676F9CDA9ECF9EAFBF3zDx9N" TargetMode = "External"/><Relationship Id="rId12" Type="http://schemas.openxmlformats.org/officeDocument/2006/relationships/hyperlink" Target="consultantplus://offline/ref=3D3A8A5D6B0366814A4AB9060B76C12EC303579CBF0B756CB7FB10E0335B3CC54AC0AEFC9A7FEFD3ABF0E5E8F9zFx7N" TargetMode = "External"/><Relationship Id="rId13" Type="http://schemas.openxmlformats.org/officeDocument/2006/relationships/hyperlink" Target="consultantplus://offline/ref=3D3A8A5D6B0366814A4AB9060B76C12EC303579BB3007A39E0F941B53D5E349510D0B8B59676F1D3A9ECEFE3AFA09BFA75CEAAB6B68C8DE77182zAx7N" TargetMode = "External"/><Relationship Id="rId14" Type="http://schemas.openxmlformats.org/officeDocument/2006/relationships/hyperlink" Target="consultantplus://offline/ref=3D3A8A5D6B0366814A4AA6110E749F21C95A589FB20B756CB7FB10E0335B3CC558C0F6F09B77F1DAAAE5B3B9BFA4D2AE70D1A2AAA88C93E7z7x7N" TargetMode = "External"/><Relationship Id="rId15" Type="http://schemas.openxmlformats.org/officeDocument/2006/relationships/hyperlink" Target="consultantplus://offline/ref=3D3A8A5D6B0366814A4AA6110E749F21C95A589FB20B756CB7FB10E0335B3CC558C0F6F9997CA582EDBBEAE9F3EFDFAD66CDA2AAzBx0N" TargetMode = "External"/><Relationship Id="rId16" Type="http://schemas.openxmlformats.org/officeDocument/2006/relationships/hyperlink" Target="consultantplus://offline/ref=3D3A8A5D6B0366814A4AB9060B76C12EC303579BB3007A39E0F941B53D5E349510D0B8B59676F1D3A9ECEFE3AFA09BFA75CEAAB6B68C8DE77182zAx7N"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Казначейства России от 08.04.2015 N 10н
(ред. от 06.08.2018)
"Об утверждении Порядка уведомления федеральными государственными гражданскими служащими центрального аппарата Федерального казначейства, территориальных органов Федерального казначейства, работниками федерального казенного учреждения "Центр по обеспечению деятельности Казначейства России" представителя нанимателя (работодателя) о фактах обращения в целях склонения их к совершению коррупционных правонарушений, регистрации таких уведомлений </dc:title>
  <dcterms:created xsi:type="dcterms:W3CDTF">2026-02-18T13:49:51Z</dcterms:created>
</cp:coreProperties>
</file>